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0" w:type="dxa"/>
        <w:tblInd w:w="4569" w:type="dxa"/>
        <w:tblLayout w:type="fixed"/>
        <w:tblLook w:val="01E0" w:firstRow="1" w:lastRow="1" w:firstColumn="1" w:lastColumn="1" w:noHBand="0" w:noVBand="0"/>
      </w:tblPr>
      <w:tblGrid>
        <w:gridCol w:w="4870"/>
      </w:tblGrid>
      <w:tr w:rsidR="00FC2A07">
        <w:trPr>
          <w:trHeight w:val="2268"/>
        </w:trPr>
        <w:tc>
          <w:tcPr>
            <w:tcW w:w="4870" w:type="dxa"/>
          </w:tcPr>
          <w:p w:rsidR="00FC2A07" w:rsidRDefault="008E64B9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noProof/>
                <w:sz w:val="24"/>
                <w:lang w:val="ru-RU" w:eastAsia="ru-RU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635</wp:posOffset>
                  </wp:positionV>
                  <wp:extent cx="2955290" cy="1927860"/>
                  <wp:effectExtent l="0" t="0" r="0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1927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C2A07" w:rsidRDefault="00FC2A07">
      <w:pPr>
        <w:spacing w:beforeAutospacing="0" w:afterAutospacing="0"/>
        <w:jc w:val="right"/>
        <w:rPr>
          <w:rFonts w:ascii="PT Astra Serif" w:hAnsi="PT Astra Serif"/>
          <w:b/>
          <w:bCs/>
          <w:color w:val="000000"/>
          <w:sz w:val="28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FC2A0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8E64B9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ИЗВЕЩЕНИЕ </w:t>
      </w:r>
    </w:p>
    <w:p w:rsidR="00FC2A07" w:rsidRDefault="008E64B9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об осуществлен</w:t>
      </w:r>
      <w:proofErr w:type="gramStart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ии ау</w:t>
      </w:r>
      <w:proofErr w:type="gramEnd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</w:t>
      </w:r>
    </w:p>
    <w:p w:rsidR="00FC2A07" w:rsidRDefault="008E64B9">
      <w:pPr>
        <w:spacing w:beforeAutospacing="0" w:afterAutospacing="0"/>
        <w:jc w:val="center"/>
        <w:rPr>
          <w:rFonts w:ascii="PT Astra Serif" w:hAnsi="PT Astra Serif"/>
          <w:b/>
          <w:bCs/>
          <w:vertAlign w:val="superscript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на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 xml:space="preserve">оказание услуг по заправке и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>восстановлению картриджей</w:t>
      </w:r>
      <w:r>
        <w:rPr>
          <w:rFonts w:ascii="PT Astra Serif" w:hAnsi="PT Astra Serif"/>
          <w:b/>
          <w:bCs/>
          <w:lang w:val="ru-RU"/>
        </w:rPr>
        <w:br/>
      </w:r>
      <w:r>
        <w:rPr>
          <w:rFonts w:ascii="PT Astra Serif" w:hAnsi="PT Astra Serif"/>
          <w:b/>
          <w:bCs/>
          <w:vertAlign w:val="superscript"/>
          <w:lang w:val="ru-RU"/>
        </w:rPr>
        <w:t xml:space="preserve"> (</w:t>
      </w:r>
      <w:r>
        <w:rPr>
          <w:rFonts w:ascii="PT Astra Serif" w:hAnsi="PT Astra Serif"/>
          <w:b/>
          <w:bCs/>
          <w:i/>
          <w:vertAlign w:val="superscript"/>
          <w:lang w:val="ru-RU"/>
        </w:rPr>
        <w:t>указать предмет контракта</w:t>
      </w:r>
      <w:r>
        <w:rPr>
          <w:rFonts w:ascii="PT Astra Serif" w:hAnsi="PT Astra Serif"/>
          <w:b/>
          <w:bCs/>
          <w:vertAlign w:val="superscript"/>
          <w:lang w:val="ru-RU"/>
        </w:rPr>
        <w:t>)</w:t>
      </w:r>
    </w:p>
    <w:p w:rsidR="00FC2A07" w:rsidRDefault="008E64B9">
      <w:pPr>
        <w:spacing w:beforeAutospacing="0" w:afterAutospacing="0"/>
        <w:rPr>
          <w:rFonts w:ascii="PT Astra Serif" w:hAnsi="PT Astra Serif"/>
          <w:b/>
          <w:bCs/>
          <w:vertAlign w:val="superscript"/>
          <w:lang w:val="ru-RU"/>
        </w:rPr>
      </w:pPr>
      <w:r w:rsidRPr="008E64B9">
        <w:rPr>
          <w:lang w:val="ru-RU"/>
        </w:rPr>
        <w:br w:type="page"/>
      </w:r>
    </w:p>
    <w:tbl>
      <w:tblPr>
        <w:tblW w:w="10407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6"/>
        <w:gridCol w:w="3251"/>
        <w:gridCol w:w="6530"/>
      </w:tblGrid>
      <w:tr w:rsidR="00FC2A07">
        <w:trPr>
          <w:trHeight w:val="71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A07" w:rsidRDefault="008E64B9">
            <w:pPr>
              <w:pageBreakBefore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№ пункта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pStyle w:val="12"/>
              <w:keepNext/>
              <w:keepLines/>
              <w:suppressLineNumbers/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Информация</w:t>
            </w:r>
          </w:p>
        </w:tc>
      </w:tr>
      <w:tr w:rsidR="00FC2A07" w:rsidRPr="008E64B9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Наименование:</w:t>
            </w:r>
            <w:r>
              <w:rPr>
                <w:rFonts w:ascii="PT Astra Serif" w:hAnsi="PT Astra Serif"/>
                <w:szCs w:val="22"/>
              </w:rPr>
              <w:t xml:space="preserve"> Администрация </w:t>
            </w:r>
            <w:proofErr w:type="spellStart"/>
            <w:r>
              <w:rPr>
                <w:rFonts w:ascii="PT Astra Serif" w:hAnsi="PT Astra Serif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szCs w:val="22"/>
              </w:rPr>
              <w:t>.Ю</w:t>
            </w:r>
            <w:proofErr w:type="gramEnd"/>
            <w:r>
              <w:rPr>
                <w:rFonts w:ascii="PT Astra Serif" w:hAnsi="PT Astra Serif"/>
                <w:szCs w:val="22"/>
              </w:rPr>
              <w:t>горска</w:t>
            </w:r>
            <w:proofErr w:type="spellEnd"/>
            <w:r>
              <w:rPr>
                <w:rFonts w:ascii="PT Astra Serif" w:hAnsi="PT Astra Serif"/>
                <w:szCs w:val="22"/>
              </w:rPr>
              <w:t>.</w:t>
            </w:r>
          </w:p>
          <w:p w:rsidR="00FC2A07" w:rsidRDefault="008E64B9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szCs w:val="22"/>
              </w:rPr>
              <w:t>Место нахождения</w:t>
            </w:r>
            <w:r>
              <w:rPr>
                <w:rFonts w:ascii="PT Astra Serif" w:hAnsi="PT Astra Serif"/>
                <w:szCs w:val="22"/>
              </w:rPr>
              <w:t xml:space="preserve">: 628260, Ханты-Мансийский автономный округ – Югра, г. </w:t>
            </w:r>
            <w:proofErr w:type="spellStart"/>
            <w:r>
              <w:rPr>
                <w:rFonts w:ascii="PT Astra Serif" w:hAnsi="PT Astra Serif"/>
                <w:szCs w:val="22"/>
              </w:rPr>
              <w:t>Югорск</w:t>
            </w:r>
            <w:proofErr w:type="spellEnd"/>
            <w:r>
              <w:rPr>
                <w:rFonts w:ascii="PT Astra Serif" w:hAnsi="PT Astra Serif"/>
                <w:szCs w:val="22"/>
              </w:rPr>
              <w:t>, ул.40 лет Победы, д.11</w:t>
            </w:r>
            <w:proofErr w:type="gramEnd"/>
          </w:p>
          <w:p w:rsidR="00FC2A07" w:rsidRDefault="008E64B9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proofErr w:type="gramStart"/>
            <w:r>
              <w:rPr>
                <w:rFonts w:ascii="PT Astra Serif" w:hAnsi="PT Astra Serif"/>
                <w:b/>
                <w:szCs w:val="22"/>
              </w:rPr>
              <w:t xml:space="preserve">Почтовый </w:t>
            </w:r>
            <w:r>
              <w:rPr>
                <w:rFonts w:ascii="PT Astra Serif" w:hAnsi="PT Astra Serif"/>
                <w:b/>
                <w:szCs w:val="22"/>
              </w:rPr>
              <w:t>адрес</w:t>
            </w:r>
            <w:r>
              <w:rPr>
                <w:rFonts w:ascii="PT Astra Serif" w:hAnsi="PT Astra Serif"/>
                <w:szCs w:val="22"/>
              </w:rPr>
              <w:t xml:space="preserve">: 628260, Ханты-Мансийский автономный округ – Югра, г. </w:t>
            </w:r>
            <w:proofErr w:type="spellStart"/>
            <w:r>
              <w:rPr>
                <w:rFonts w:ascii="PT Astra Serif" w:hAnsi="PT Astra Serif"/>
                <w:szCs w:val="22"/>
              </w:rPr>
              <w:t>Югорск</w:t>
            </w:r>
            <w:proofErr w:type="spellEnd"/>
            <w:r>
              <w:rPr>
                <w:rFonts w:ascii="PT Astra Serif" w:hAnsi="PT Astra Serif"/>
                <w:szCs w:val="22"/>
              </w:rPr>
              <w:t>, ул.40 лет Победы, д.11</w:t>
            </w:r>
            <w:proofErr w:type="gramEnd"/>
          </w:p>
          <w:p w:rsidR="00FC2A07" w:rsidRDefault="008E64B9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Адрес электронной почты</w:t>
            </w:r>
            <w:r>
              <w:rPr>
                <w:rFonts w:ascii="PT Astra Serif" w:hAnsi="PT Astra Serif"/>
                <w:szCs w:val="22"/>
              </w:rPr>
              <w:t>: inform@ugorsk.ru.</w:t>
            </w:r>
          </w:p>
          <w:p w:rsidR="00FC2A07" w:rsidRDefault="008E64B9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Номер контрактного телефона</w:t>
            </w:r>
            <w:r>
              <w:rPr>
                <w:rFonts w:ascii="PT Astra Serif" w:hAnsi="PT Astra Serif"/>
                <w:szCs w:val="22"/>
              </w:rPr>
              <w:t>: 8 (34675) 7-70-00, доб.240.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: специалист-эксперт управления 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информационных технологий </w:t>
            </w:r>
            <w:proofErr w:type="spellStart"/>
            <w:r>
              <w:rPr>
                <w:rFonts w:ascii="PT Astra Serif" w:hAnsi="PT Astra Serif"/>
                <w:sz w:val="24"/>
                <w:lang w:val="ru-RU"/>
              </w:rPr>
              <w:t>Дергилев</w:t>
            </w:r>
            <w:proofErr w:type="spellEnd"/>
            <w:r>
              <w:rPr>
                <w:rFonts w:ascii="PT Astra Serif" w:hAnsi="PT Astra Serif"/>
                <w:sz w:val="24"/>
                <w:lang w:val="ru-RU"/>
              </w:rPr>
              <w:t xml:space="preserve"> Олег Владимирович.</w:t>
            </w:r>
          </w:p>
        </w:tc>
      </w:tr>
      <w:tr w:rsidR="00FC2A07" w:rsidRPr="008E64B9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Уполномоченный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Администрация города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</w:p>
          <w:p w:rsidR="00FC2A07" w:rsidRDefault="008E64B9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Место нахождения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Югорск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, ул. 40 лет Победы, 11,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 310.</w:t>
            </w:r>
            <w:proofErr w:type="gramEnd"/>
          </w:p>
          <w:p w:rsidR="00FC2A07" w:rsidRDefault="008E64B9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Югорск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, ул. 40 лет Победы, 11.</w:t>
            </w:r>
            <w:proofErr w:type="gramEnd"/>
          </w:p>
          <w:p w:rsidR="00FC2A07" w:rsidRDefault="008E64B9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Телефон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(34675) 7-71-12, доб.217.</w:t>
            </w:r>
          </w:p>
          <w:p w:rsidR="00FC2A07" w:rsidRDefault="008E64B9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Адрес электронной почты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omz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@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ugorsk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ru</w:t>
            </w:r>
            <w:proofErr w:type="spellEnd"/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 начальник отдела муниципальных з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акупок Департамента экономического развития и проектного управления Абдуллаева Ольга Сергеевна.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99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Идентификационный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код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263862200236886220100101690019511244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Способ определения поставщика (подрядчика, исполнителя)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Электронный аукцион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Адрес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электронной площадки в информационно-телекоммуникационной сети Интернет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Акционерное общество «Сбербанк - Автоматизированная система торгов»</w:t>
            </w:r>
          </w:p>
          <w:p w:rsidR="00FC2A07" w:rsidRDefault="008E64B9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http://www.sberbank-ast.ru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объекта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Аукцион в электронной форме среди субъектов малого предпр</w:t>
            </w: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инимательства и социально ориентированных некоммерческих организаций на право заключения муниципального контракта на оказание услуг по заправке и восстановлению картриджей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при осуществлении закупки выполнения работы или оказания услуги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об объекте закупки отражена в Приложении 1 к извещению об осуществлении закупки «Описание объекта закупки»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Срок исполнения контракта (отдельных этапов исполнения контракта, если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проектом контракта предусмотрены такие этапы)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 xml:space="preserve">Срок оказания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услуг – с момента заключения муниципального контракта по 30.11.2026.</w:t>
            </w:r>
          </w:p>
          <w:p w:rsidR="00FC2A07" w:rsidRDefault="008E64B9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Начало исполнения контракта: </w:t>
            </w:r>
            <w:proofErr w:type="gram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 даты заключения</w:t>
            </w:r>
            <w:proofErr w:type="gram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муниципального контракта.</w:t>
            </w:r>
          </w:p>
          <w:p w:rsidR="00FC2A07" w:rsidRDefault="008E64B9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Срок окончания исполнения контракта: 23.12.2026.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Начальная (максимальная) цена контракта (цена отдельных этапов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исполнения контракта, если проектом контракта предусмотрены такие этапы)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8E64B9">
              <w:rPr>
                <w:rFonts w:ascii="PT Astra Serif" w:hAnsi="PT Astra Serif"/>
                <w:color w:val="000099"/>
                <w:sz w:val="24"/>
                <w:lang w:val="ru-RU"/>
              </w:rPr>
              <w:t>393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t xml:space="preserve"> </w:t>
            </w:r>
            <w:r w:rsidRPr="008E64B9">
              <w:rPr>
                <w:rFonts w:ascii="PT Astra Serif" w:hAnsi="PT Astra Serif"/>
                <w:color w:val="000099"/>
                <w:sz w:val="24"/>
                <w:lang w:val="ru-RU"/>
              </w:rPr>
              <w:t>4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00 (триста девяносто три тысячи четыреста) рублей 00 копеек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Источник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Бюджет города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на 2026 год (Муниципальная программа города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«Развитие инфор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мационного общества»)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6"/>
                <w:lang w:val="ru-RU" w:eastAsia="ru-RU"/>
              </w:rPr>
              <w:t>российский рубль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12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Размер аванса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предусмотрен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13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after="28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1 статьи 31 Закона о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контрактной системе</w:t>
            </w:r>
          </w:p>
          <w:p w:rsidR="00FC2A07" w:rsidRDefault="00FC2A07">
            <w:pPr>
              <w:spacing w:before="28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 должен соответствовать требованиям: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которые являются объектом закупки;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непроведение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 открытии конкурсного производства;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неприостановление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деятельности участника закупки в порядке, установленном Кодексом об административных правонарушениях;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4) отсутствие у участника закупки недоимки по налогам, сборам, задолженности по иным обязательны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ованы в соответствии с законодательством Российской Федерации, по которым имеется вступившее в законную силу решение суда о признании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обязанности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заявителя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по уплате этих сумм исполненной или которые признаны безнадёжными к взысканию в соответствии с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одательством Российской Федерации о налогах и сборах) за прошедший календарный год, размер которых превышает 25 % балансовой стоимости активов участника закупки, по данным бухгалтерской отчётности за последний отчётный период. Участник закупки считается со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ответствующим установленному требованию в случае, если им в установленном порядке подано заявление об обжаловании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недоимки, задолженности 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решение по такому заявлению на дату рассмотрения заявки на участие в определении поставщика (подрядчика, 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сполнителя) не принято;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5) 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тника закупки судимости за преступления в сфере экономики и (или) преступления, предусмотренные статьями 289, 290, 291, 291.1 Уголовного кодекса (за исключением лиц, у которых такая судимость погашена или снята), а также неприменение в отношении 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 наказания в виде дисквалификации;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усмотренного статьёй 19.28 Кодекса Российской Федерации об административных правонарушениях;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8) отсутствие обстоятельств, при которых должностное лицо заказчик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близкий родственник по прямой восходящей или нисходящей линии (отец, мать, дедушка,  бабушка, сын,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дочь,  внук,  внучка), полнородный 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неполнородный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(имеющий общих с должностным лицом заказчика отца или мать) брат (сестра), лицо, усыновлённое должностным лицом заказчика, либо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усыновитель этого должностного лица заказчика является: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а) физическим лицо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(в том числе зарегистрированным в качестве индивидуального предпринимателя), являющимся участником закупки;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б) руководителем, единоличным исполнительным органом, членом коллегиального исполнительного органа, учредителем, членом коллегиального органа унит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арной организации, являющейся участником закупки;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управления, выгодоприобретателем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корпоративного юридического лица, являющегося участником за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купки.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Выгодоприобретателем для целей настоящего пункта является физическое лицо, которое владеет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proofErr w:type="gramEnd"/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9) участник закупки не является офшорной компанией, не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 несколько юридических лиц) более чем десятью процентами голосующих акций хозяйственного общества либо долей, превышающей десять процентов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уставном (складочном)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капитале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хозяйственного товарищества или общества;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10) участник закупки не является иностран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ным агентом;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11) отсутствие у участника закупки ограничений для участия в закупках, установленных законодательством Российской Федерации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частями 2 и 2.1 (при наличии таких требований)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статьи 31 Закона о контрактной системе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jc w:val="both"/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Перечень документов, которые подтверждают соответствие участника закупки требованиям, установленным в извещении о закупке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Установлено в соответствии с Приложением 3 к извещению о проведении закупки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 (при наличии такого требования)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пки, в том числе информации о лицах, информация о которых содержится в заявке на участие в закупке в соответствии с подпунктом «в» пункта 1 части 1 статьи 43 Закона о контрактной системе, если Правительством Российской Федерации не установлено иное.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еимущества в соответствии со статьями 28 и 29 Закона о контрактной системе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учреждениям и предприятиям уголовно-исполнительной системы: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организациям инвалидов: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Преимущества участия 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 xml:space="preserve">определении поставщика (подрядчика, исполнителя)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lastRenderedPageBreak/>
              <w:t xml:space="preserve">Участниками закупки могут быть только субъекты малого 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lastRenderedPageBreak/>
              <w:t>предпринимательства и социально ориентированные некоммерческие ор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ганизации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Требование, установленное в соответствии с частью 5 статьи 30 Закона о контрактной системе, с указанием в соответствии с частью 6 статьи 30 Закона о контрактной системе объёма привлечения к исполнению контрактов субподрядчиков, соисполнителей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у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становлено</w:t>
            </w:r>
            <w:proofErr w:type="spellEnd"/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Запрет или ограничение закупок товаров (в том числе поставляемых при выполнении закупаемых работ, оказании закупаемых услуг), происходящ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их из иностранных государств, работ, услуг, соответственно выполняемых, оказываемых иностранными лицами,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услуг, соответственно выполняемых, оказываемых российскими лицами, в случае, если такие запрет, ограничение, преимущество установлены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соответствии с пунктом 1 части 2 статьи 14 Закона о контрактной системе в отношении товара (в том числе поставляемого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при выполнении закупаемой работы, оказании закупаемой услуги), работы, услуги,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являющихся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объектом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закупки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Не установлено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заявки на участие в закупке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заявки на участие в закупке установлен в размере 1% от начальной (максимальной) цены контракта, что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составляет 3 934 (три тысячи девятьсот тридцать четыре)  рубля 00 копеек.</w:t>
            </w:r>
          </w:p>
          <w:p w:rsidR="00FC2A07" w:rsidRDefault="008E64B9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Предприятия уголовно-исполнительной системы, организации инвали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дов, предусмотренные частью 2 статьи 29 Закона о контрактной системе, предоставляют обеспечение заявки на участие в закупке в размере 1/2 процента начальной (максимальной) цены контракта. Государственные, муниципальные учреждения не предоставляют обеспечен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ие подаваемых ими заявок на участие в закупках.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внесения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ачестве обеспечения заявок на участие в закупке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Обеспечение заявки на участие в закупке предоставляется в размере, указанном в предыдущем пункте одним из следующих спо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собов:</w:t>
            </w:r>
          </w:p>
          <w:p w:rsidR="00FC2A07" w:rsidRDefault="008E64B9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путём блокирования денежных средств на банковском счёте, открытом таким участником в банке, включённом в перечень, утверждённый Правительством Российской Федерации;</w:t>
            </w:r>
          </w:p>
          <w:p w:rsidR="00FC2A07" w:rsidRDefault="008E64B9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2) путём предоставления независимой гарантии, соответствующей требованиям статьи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45 Закона о контрактной системе.</w:t>
            </w:r>
          </w:p>
          <w:p w:rsidR="00FC2A07" w:rsidRDefault="008E64B9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Выбор способа обеспечения осуществляется участником закупки самостоятельно. Срок действия независимой гарантии должен составлять не менее месяца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 даты окончания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срока подачи заявок.</w:t>
            </w:r>
          </w:p>
          <w:p w:rsidR="00FC2A07" w:rsidRDefault="008E64B9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Предприятия уголовно-исполнительной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емы, организации инвалидов, предусмотренные частью 2 статьи 29 Закона о контрактной системе, предоставляют обеспечение заявки на участие в закупке в размере одной второй процента начальной (максимальной) цены контракта.</w:t>
            </w:r>
          </w:p>
          <w:p w:rsidR="00FC2A07" w:rsidRDefault="008E64B9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Государственные, муниципальные учреж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дения не предоставляют обеспечение подаваемых ими заявок на участие в закупках.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Условия независимой гарантии (если требование обеспечения заявки установлено в соответствии со статьёй 44 Закона о контрактной системе)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Независимая гарантия должна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соответствовать требованиям статьи 45 Закона о контрактной системе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24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Наименование заказчика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: Администрация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</w:p>
          <w:p w:rsidR="00FC2A07" w:rsidRPr="008E64B9" w:rsidRDefault="008E64B9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Получатель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(Администрация города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04873030170), ИНН 8622002368, КПП 862201001.</w:t>
            </w:r>
          </w:p>
          <w:p w:rsidR="00FC2A07" w:rsidRPr="008E64B9" w:rsidRDefault="008E64B9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 ОКЦ №8 УГУ Банка России//УФК по Ханты-Мансийскому автономному округу-Югре г. Ханты-Мансийск,  БИК 007162163,  счет 40102810245370000007,</w:t>
            </w:r>
          </w:p>
          <w:p w:rsidR="00FC2A07" w:rsidRDefault="008E64B9">
            <w:pPr>
              <w:spacing w:beforeAutospacing="0" w:afterAutospacing="0"/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казначейский счет получателя 03100643000000018700,</w:t>
            </w:r>
          </w:p>
          <w:p w:rsidR="00FC2A07" w:rsidRDefault="008E64B9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КБК 040 11610061040000140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 для перечисления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сл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учае, предусмотренном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Pr="008E64B9" w:rsidRDefault="008E64B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Наименование заказчика: Администрация города </w:t>
            </w:r>
            <w:proofErr w:type="spellStart"/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</w:p>
          <w:p w:rsidR="00FC2A07" w:rsidRPr="008E64B9" w:rsidRDefault="008E64B9">
            <w:pPr>
              <w:spacing w:before="280"/>
              <w:jc w:val="both"/>
              <w:rPr>
                <w:lang w:val="ru-RU"/>
              </w:rPr>
            </w:pPr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(Администрация города </w:t>
            </w:r>
            <w:proofErr w:type="spellStart"/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04873030170), ИНН 8622002368, КПП 862201001.</w:t>
            </w:r>
          </w:p>
          <w:p w:rsidR="00FC2A07" w:rsidRPr="008E64B9" w:rsidRDefault="008E64B9">
            <w:pPr>
              <w:spacing w:before="280"/>
              <w:jc w:val="both"/>
              <w:rPr>
                <w:lang w:val="ru-RU"/>
              </w:rPr>
            </w:pPr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Банк: ОКЦ №8 УГУ Банка России //УФК по Ханты-Мансийскому автономному округу-Югре г. Ханты-Мансийск,  БИК 007162163,  счет 40102810245370000007, </w:t>
            </w:r>
            <w:r w:rsidRPr="008E64B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казначейский счет получателя 03100643000000018700, КБК 040 11610061040000140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исполнения контракта, гарантийных обязательств</w:t>
            </w:r>
          </w:p>
          <w:p w:rsidR="00FC2A07" w:rsidRDefault="00FC2A07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lang w:val="ru-RU"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lang w:val="ru-RU"/>
              </w:rPr>
              <w:t xml:space="preserve">Размер обеспечения исполнения контракта 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составляет 5% от цены, по которой в соответствии с Законом о контрак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тной системе, будет заключён контракт.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Если участник закупки, с которым заключается контракт, предложил цену контракта, которая на 25 и более процентов ниже начальной (максимальной) цены контракта, либо предложена сумма цен единиц товара, работы, услуги, 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оторая на 25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 контрактной системе, или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ии, подтверждающей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извещении об осуществлении закупки.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гарантийных обязательств: не предусмотрено.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предоставления обеспечения исполнения контракта, гарантийных обязательств, требования к обеспечению исполнения контракта, гарантийных обязательс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тв (если требование обеспечения исполнения контракта, гарантийных обязательств установлено в соответствии со статьёй 96 Закона о контрактной системе)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контракт, может предоставить обеспечение исполнения контракта, гар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антийных обязательств любым из двух способов: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внесение денежных средств на счёт заказчика,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Наименование заказчика: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Администрация города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</w:p>
          <w:p w:rsidR="00FC2A07" w:rsidRPr="008E64B9" w:rsidRDefault="008E64B9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(Администрация города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070190000), ИНН 8622002368, КПП 862201001.</w:t>
            </w:r>
          </w:p>
          <w:p w:rsidR="00FC2A07" w:rsidRPr="008E64B9" w:rsidRDefault="008E64B9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</w:t>
            </w:r>
          </w:p>
          <w:p w:rsidR="00FC2A07" w:rsidRPr="008E64B9" w:rsidRDefault="008E64B9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ОКЦ №8 УГУ Банка России //УФК по Ханты-Мансийскому автономному округу-Югре г. Ханты-Мансийск,  БИК 007162163, счет 40102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810245370000007, казначейский счет получателя 03232643718870008700, КБК 0.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Назначение платежа: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«ИКЗ ___________________ //  Обеспечение исполнения муниципального контракта № ___________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на оказание услуг по </w:t>
            </w: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заправке и восстановлению картриджей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».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Факт внесе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ния денежных средств на счёт заказчика подтверждается платёжным документом, на основании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которого произведено перечисление средств;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предоставление независимой гарантии, соответствующей требованиям статьи 45 Закона о контрактной системе.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     Способ обе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спечения исполнения контракта, срок действия независимой гарантии определяются участником закупки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печены такой независимой гарантией, не менее чем на один месяц, в том числе в случае его изменения в соответствии со статьёй 95 Закона о контрактной системе.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 заключается после предоставления участником закупки, обеспечения исполнения контракта в 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оответствии с Законом о контрактной системе.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Положения настоящего извещения об обеспечении исполнения контракта, включая положения о предоставлении такого обеспечения с учётом положений статьи 37 Закона о контрактной системе, не применяются в случае: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за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ключения контракта с участником закупки, который является казённым учреждением;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осуществления закупки услуги по предоставлению кредита;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3) заключения бюджетным учреждением, государственным, муниципальным унитарными предприятиями контракта, предметом кот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орого является выдача независимой гарантии.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 по результатам определения поставщика (подрядчика, исполнителя) у СМП, СОНКО, освобождается от предоставления обеспечения исполнения контракта, в соответствии с ча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стью 8.1 статьи 96 Закона о контрактной системе. В ходе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 ранее предоставленного обеспечения исполнения конт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ракта, новое обеспечение исполнения контракта, в соответствии с частью 7 статьи 96 Закона о контрактной системе.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банковском сопровождении контракта в соответствии со статьёй 35 Закона о контрактной системе, о казначейском сопровождении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(если в соответствии с законодательством Российской Федерации расчёты по контракту или расчёты по контракту в части выплаты аванса подлежат казначейскому сопровождению)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возможности заказчика заключить контракты, указанные в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части 10 статьи 34 Закона о контрактной системе, с несколькими участниками закупки с указанием количества указанных контрактов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30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о возможности одностороннего отказа от исполнения контракта в соответствии со статьёй 95 Закона о 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онтрактной системе</w:t>
            </w:r>
          </w:p>
          <w:p w:rsidR="00FC2A07" w:rsidRDefault="00FC2A07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при условии,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если это было предусмотрено контрактом.</w:t>
            </w:r>
          </w:p>
          <w:p w:rsidR="00FC2A07" w:rsidRDefault="008E64B9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Поставщик (подрядчик, исполнитель)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и время окончания срока подачи заявок на участие в закупке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after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до 10 часов 00 минут «06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2026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г.</w:t>
            </w:r>
          </w:p>
          <w:p w:rsidR="00FC2A07" w:rsidRDefault="00FC2A07">
            <w:pPr>
              <w:spacing w:before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«06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2026 г.</w:t>
            </w:r>
          </w:p>
          <w:p w:rsidR="00FC2A07" w:rsidRDefault="00FC2A07">
            <w:pPr>
              <w:spacing w:beforeAutospacing="0" w:afterAutospacing="0"/>
              <w:ind w:left="75" w:right="75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FC2A0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 w:rsidP="008E64B9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«10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</w:t>
            </w: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2026 г.</w:t>
            </w:r>
          </w:p>
        </w:tc>
      </w:tr>
      <w:tr w:rsidR="00FC2A07" w:rsidRPr="008E64B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A07" w:rsidRDefault="008E64B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Предупреждение об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административной и уголовной ответственности за нарушение требований антимонопольного законодательства</w:t>
            </w:r>
          </w:p>
        </w:tc>
        <w:tc>
          <w:tcPr>
            <w:tcW w:w="6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2A07" w:rsidRDefault="008E64B9">
            <w:pPr>
              <w:spacing w:beforeAutospacing="0" w:afterAutospacing="0"/>
              <w:ind w:left="74" w:right="7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частия в ограничивающих конкуренцию соглашениях, осуществления ограничивающих конкуренцию согласованных действий.</w:t>
            </w:r>
            <w:proofErr w:type="gramEnd"/>
          </w:p>
        </w:tc>
      </w:tr>
    </w:tbl>
    <w:p w:rsidR="00FC2A07" w:rsidRDefault="00FC2A07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FC2A07" w:rsidRDefault="008E64B9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Приложения:</w:t>
      </w:r>
    </w:p>
    <w:p w:rsidR="00FC2A07" w:rsidRDefault="008E64B9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1. Описание объекта закупки.</w:t>
      </w:r>
    </w:p>
    <w:p w:rsidR="00FC2A07" w:rsidRDefault="008E64B9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2. Обоснование начальной (максимальной) цены контракта.</w:t>
      </w:r>
    </w:p>
    <w:p w:rsidR="00FC2A07" w:rsidRDefault="008E64B9">
      <w:pPr>
        <w:spacing w:beforeAutospacing="0" w:after="120" w:afterAutospacing="0"/>
        <w:ind w:right="-754"/>
        <w:jc w:val="both"/>
        <w:rPr>
          <w:rFonts w:ascii="PT Astra Serif" w:hAnsi="PT Astra Serif"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 xml:space="preserve">Приложение 3. </w:t>
      </w: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Требования к содержанию, составу заявки на участие в закупке в соответствии с Законом о контрактной системе и инструкция по её заполнению.</w:t>
      </w:r>
    </w:p>
    <w:p w:rsidR="00FC2A07" w:rsidRDefault="008E64B9">
      <w:pPr>
        <w:spacing w:beforeAutospacing="0" w:after="120" w:afterAutospacing="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4. Проект муниципального контракта.</w:t>
      </w:r>
    </w:p>
    <w:sectPr w:rsidR="00FC2A07">
      <w:footerReference w:type="even" r:id="rId9"/>
      <w:footerReference w:type="default" r:id="rId10"/>
      <w:footerReference w:type="first" r:id="rId11"/>
      <w:pgSz w:w="11906" w:h="16838"/>
      <w:pgMar w:top="567" w:right="1440" w:bottom="1440" w:left="1440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E64B9">
      <w:r>
        <w:separator/>
      </w:r>
    </w:p>
  </w:endnote>
  <w:endnote w:type="continuationSeparator" w:id="0">
    <w:p w:rsidR="00000000" w:rsidRDefault="008E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A07" w:rsidRDefault="00FC2A07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A07" w:rsidRDefault="008E64B9">
    <w:pPr>
      <w:pStyle w:val="afe"/>
      <w:spacing w:after="280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  <w:p w:rsidR="00FC2A07" w:rsidRDefault="00FC2A07">
    <w:pPr>
      <w:pStyle w:val="afe"/>
      <w:spacing w:after="2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A07" w:rsidRDefault="00FC2A07">
    <w:pPr>
      <w:pStyle w:val="afe"/>
      <w:spacing w:after="2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E64B9">
      <w:r>
        <w:separator/>
      </w:r>
    </w:p>
  </w:footnote>
  <w:footnote w:type="continuationSeparator" w:id="0">
    <w:p w:rsidR="00000000" w:rsidRDefault="008E64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07"/>
    <w:rsid w:val="008E64B9"/>
    <w:rsid w:val="00FC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ad">
    <w:name w:val="Символ сноски"/>
    <w:basedOn w:val="a0"/>
    <w:uiPriority w:val="99"/>
    <w:unhideWhenUsed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aff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f7">
    <w:name w:val="Колонтитулы"/>
    <w:basedOn w:val="a"/>
  </w:style>
  <w:style w:type="paragraph" w:customStyle="1" w:styleId="user3">
    <w:name w:val="Колонтитулы (user)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aff8">
    <w:name w:val="Без списка"/>
    <w:uiPriority w:val="99"/>
    <w:semiHidden/>
    <w:unhideWhenUsed/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ad">
    <w:name w:val="Символ сноски"/>
    <w:basedOn w:val="a0"/>
    <w:uiPriority w:val="99"/>
    <w:unhideWhenUsed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aff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f7">
    <w:name w:val="Колонтитулы"/>
    <w:basedOn w:val="a"/>
  </w:style>
  <w:style w:type="paragraph" w:customStyle="1" w:styleId="user3">
    <w:name w:val="Колонтитулы (user)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aff8">
    <w:name w:val="Без списка"/>
    <w:uiPriority w:val="99"/>
    <w:semiHidden/>
    <w:unhideWhenUsed/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C63CC-AC77-4069-BF35-9152993E0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3055</Words>
  <Characters>17416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Борисовна</dc:creator>
  <dc:description/>
  <cp:lastModifiedBy>Боярищева Татьяна Федоровна</cp:lastModifiedBy>
  <cp:revision>180</cp:revision>
  <cp:lastPrinted>2026-10-23T14:25:00Z</cp:lastPrinted>
  <dcterms:created xsi:type="dcterms:W3CDTF">2022-01-26T11:11:00Z</dcterms:created>
  <dcterms:modified xsi:type="dcterms:W3CDTF">2026-10-29T06:49:00Z</dcterms:modified>
  <dc:language>ru-RU</dc:language>
</cp:coreProperties>
</file>